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90"/>
      </w:tblGrid>
      <w:tr w:rsidR="00D66ACE" w:rsidTr="00A7049C">
        <w:trPr>
          <w:trHeight w:val="20"/>
        </w:trPr>
        <w:tc>
          <w:tcPr>
            <w:tcW w:w="5000" w:type="pct"/>
            <w:gridSpan w:val="6"/>
            <w:hideMark/>
          </w:tcPr>
          <w:p w:rsidR="00D66ACE" w:rsidRDefault="00D66A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vertAlign w:val="superscript"/>
                <w:lang w:eastAsia="en-US"/>
              </w:rPr>
            </w:pPr>
          </w:p>
        </w:tc>
        <w:tc>
          <w:tcPr>
            <w:tcW w:w="2813" w:type="pct"/>
            <w:gridSpan w:val="3"/>
            <w:hideMark/>
          </w:tcPr>
          <w:p w:rsidR="00D66ACE" w:rsidRDefault="007556EC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569A159" wp14:editId="405F860F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13" w:type="pct"/>
            <w:gridSpan w:val="3"/>
            <w:hideMark/>
          </w:tcPr>
          <w:p w:rsidR="00D66ACE" w:rsidRDefault="005312D8">
            <w:pPr>
              <w:spacing w:line="360" w:lineRule="auto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5000" w:type="pct"/>
            <w:gridSpan w:val="6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5000" w:type="pct"/>
            <w:gridSpan w:val="6"/>
            <w:hideMark/>
          </w:tcPr>
          <w:p w:rsidR="00D66ACE" w:rsidRDefault="00D66ACE" w:rsidP="00A7049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 ДИСЦИПЛИНЕ</w:t>
            </w:r>
          </w:p>
        </w:tc>
      </w:tr>
      <w:tr w:rsidR="00D66ACE" w:rsidTr="00A7049C">
        <w:tc>
          <w:tcPr>
            <w:tcW w:w="1626" w:type="pct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gridSpan w:val="4"/>
            <w:hideMark/>
          </w:tcPr>
          <w:p w:rsidR="00D66ACE" w:rsidRDefault="00F652C8" w:rsidP="00917E9D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</w:t>
            </w:r>
            <w:r w:rsidR="00917E9D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718" w:type="pct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D66ACE" w:rsidTr="00A7049C">
        <w:tc>
          <w:tcPr>
            <w:tcW w:w="5000" w:type="pct"/>
            <w:gridSpan w:val="6"/>
            <w:hideMark/>
          </w:tcPr>
          <w:p w:rsidR="00D66ACE" w:rsidRDefault="00D66ACE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АНСАМБЛЬ</w:t>
            </w:r>
          </w:p>
        </w:tc>
      </w:tr>
      <w:tr w:rsidR="00D66ACE" w:rsidTr="00A7049C">
        <w:tc>
          <w:tcPr>
            <w:tcW w:w="5000" w:type="pct"/>
            <w:gridSpan w:val="6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A7049C" w:rsidRPr="000A1895" w:rsidTr="00A7049C">
        <w:tc>
          <w:tcPr>
            <w:tcW w:w="1679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1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70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CD13A7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A7049C" w:rsidRPr="00C21B15" w:rsidRDefault="00753FB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A7049C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A7049C" w:rsidRPr="00C21B15" w:rsidRDefault="005E618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A7049C" w:rsidRDefault="00A7049C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1515"/>
        <w:gridCol w:w="283"/>
        <w:gridCol w:w="5922"/>
      </w:tblGrid>
      <w:tr w:rsidR="00D66ACE" w:rsidTr="00DB27AE">
        <w:tc>
          <w:tcPr>
            <w:tcW w:w="1907" w:type="pct"/>
            <w:gridSpan w:val="3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3" w:type="pct"/>
            <w:hideMark/>
          </w:tcPr>
          <w:p w:rsidR="00D66ACE" w:rsidRDefault="00D66ACE" w:rsidP="00A7049C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АНСАМБЛЬ</w:t>
            </w:r>
          </w:p>
        </w:tc>
      </w:tr>
      <w:tr w:rsidR="00D66ACE" w:rsidTr="00DB27AE">
        <w:tc>
          <w:tcPr>
            <w:tcW w:w="1907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3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1907" w:type="pct"/>
            <w:gridSpan w:val="3"/>
          </w:tcPr>
          <w:p w:rsidR="00D66ACE" w:rsidRDefault="00E63C2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D66ACE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3" w:type="pct"/>
            <w:hideMark/>
          </w:tcPr>
          <w:p w:rsidR="00D66ACE" w:rsidRDefault="00D66ACE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CD13A7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D66ACE" w:rsidTr="00DB27AE">
        <w:trPr>
          <w:trHeight w:val="339"/>
        </w:trPr>
        <w:tc>
          <w:tcPr>
            <w:tcW w:w="5000" w:type="pct"/>
            <w:gridSpan w:val="4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rPr>
          <w:trHeight w:val="339"/>
        </w:trPr>
        <w:tc>
          <w:tcPr>
            <w:tcW w:w="5000" w:type="pct"/>
            <w:gridSpan w:val="4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968" w:type="pct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  <w:hideMark/>
          </w:tcPr>
          <w:p w:rsidR="00D66ACE" w:rsidRDefault="00D66ACE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097B24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  <w:hideMark/>
          </w:tcPr>
          <w:p w:rsidR="00D66ACE" w:rsidRDefault="00D66ACE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44339E" w:rsidRPr="0015239D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4339E" w:rsidRPr="00F94D17" w:rsidRDefault="0044339E" w:rsidP="004D7232">
            <w:pPr>
              <w:spacing w:line="276" w:lineRule="auto"/>
              <w:rPr>
                <w:bCs/>
                <w:sz w:val="24"/>
                <w:szCs w:val="24"/>
                <w:lang w:eastAsia="zh-CN"/>
              </w:rPr>
            </w:pPr>
          </w:p>
        </w:tc>
      </w:tr>
      <w:tr w:rsidR="0044339E" w:rsidRPr="0015239D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392352" w:rsidRDefault="00392352" w:rsidP="0039235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международных конкурсов, доцент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392352" w:rsidRDefault="00392352" w:rsidP="0039235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Матохин С.Н.</w:t>
            </w:r>
          </w:p>
          <w:p w:rsidR="00392352" w:rsidRDefault="00392352" w:rsidP="0039235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392352" w:rsidRDefault="00392352" w:rsidP="0039235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91F2B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392352" w:rsidRDefault="00392352" w:rsidP="0039235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Варламова Т.П.</w:t>
            </w:r>
          </w:p>
          <w:p w:rsidR="00392352" w:rsidRDefault="00392352" w:rsidP="0039235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392352" w:rsidRPr="00A91F2B" w:rsidRDefault="00392352" w:rsidP="0039235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всероссийского и международного конкурсов, старший преподаватель </w:t>
            </w:r>
            <w:r w:rsidRPr="00A91F2B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392352" w:rsidRDefault="00392352" w:rsidP="0039235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Власов Н.В.</w:t>
            </w:r>
          </w:p>
          <w:p w:rsidR="00392352" w:rsidRDefault="00392352" w:rsidP="0039235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392352" w:rsidRDefault="00392352" w:rsidP="0039235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44339E" w:rsidRPr="00F94D17" w:rsidRDefault="00392352" w:rsidP="00392352">
            <w:pPr>
              <w:spacing w:line="276" w:lineRule="auto"/>
              <w:rPr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Евтушенко М.Ю</w:t>
            </w:r>
            <w:r>
              <w:rPr>
                <w:sz w:val="24"/>
                <w:szCs w:val="24"/>
                <w:lang w:eastAsia="zh-CN"/>
              </w:rPr>
              <w:t>.</w:t>
            </w:r>
          </w:p>
        </w:tc>
      </w:tr>
      <w:tr w:rsidR="0044339E" w:rsidRPr="00B27923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4339E" w:rsidRPr="00F94D17" w:rsidRDefault="0044339E" w:rsidP="004D723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5000" w:type="pct"/>
            <w:gridSpan w:val="4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5000" w:type="pct"/>
            <w:gridSpan w:val="4"/>
            <w:hideMark/>
          </w:tcPr>
          <w:p w:rsidR="00D66ACE" w:rsidRDefault="00D66ACE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D66ACE" w:rsidTr="00DB27AE">
        <w:tc>
          <w:tcPr>
            <w:tcW w:w="1759" w:type="pct"/>
            <w:gridSpan w:val="2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  <w:hideMark/>
          </w:tcPr>
          <w:p w:rsidR="00D66ACE" w:rsidRDefault="00097B2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6ACE" w:rsidTr="00DB27AE">
        <w:tc>
          <w:tcPr>
            <w:tcW w:w="1759" w:type="pct"/>
            <w:gridSpan w:val="2"/>
            <w:hideMark/>
          </w:tcPr>
          <w:p w:rsidR="00D66ACE" w:rsidRDefault="00C30CBF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D66ACE" w:rsidRDefault="00D66ACE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D66ACE" w:rsidRDefault="00D66ACE" w:rsidP="00D66AC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6ACE" w:rsidRDefault="00D66ACE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392352" w:rsidRDefault="00392352" w:rsidP="00392352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39235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A7049C" w:rsidRPr="00392352" w:rsidRDefault="00A7049C" w:rsidP="00392352">
          <w:pPr>
            <w:spacing w:line="360" w:lineRule="auto"/>
            <w:ind w:left="567" w:hanging="567"/>
          </w:pPr>
        </w:p>
        <w:p w:rsidR="00392352" w:rsidRPr="00392352" w:rsidRDefault="009C7003" w:rsidP="00392352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92352">
            <w:fldChar w:fldCharType="begin"/>
          </w:r>
          <w:r w:rsidR="008414BC" w:rsidRPr="00392352">
            <w:instrText xml:space="preserve"> TOC \o "1-3" \h \z \u </w:instrText>
          </w:r>
          <w:r w:rsidRPr="00392352">
            <w:fldChar w:fldCharType="separate"/>
          </w:r>
          <w:hyperlink w:anchor="_Toc95137533" w:history="1">
            <w:r w:rsidR="00392352" w:rsidRPr="00392352">
              <w:rPr>
                <w:rStyle w:val="ad"/>
                <w:noProof/>
              </w:rPr>
              <w:t>1.</w:t>
            </w:r>
            <w:r w:rsidR="00392352"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92352" w:rsidRPr="00392352">
              <w:rPr>
                <w:rStyle w:val="ad"/>
                <w:noProof/>
              </w:rPr>
              <w:t>ВВЕДЕНИЕ</w:t>
            </w:r>
            <w:r w:rsidR="00392352" w:rsidRPr="00392352">
              <w:rPr>
                <w:noProof/>
                <w:webHidden/>
              </w:rPr>
              <w:tab/>
            </w:r>
            <w:r w:rsidR="00392352" w:rsidRPr="00392352">
              <w:rPr>
                <w:noProof/>
                <w:webHidden/>
              </w:rPr>
              <w:fldChar w:fldCharType="begin"/>
            </w:r>
            <w:r w:rsidR="00392352" w:rsidRPr="00392352">
              <w:rPr>
                <w:noProof/>
                <w:webHidden/>
              </w:rPr>
              <w:instrText xml:space="preserve"> PAGEREF _Toc95137533 \h </w:instrText>
            </w:r>
            <w:r w:rsidR="00392352" w:rsidRPr="00392352">
              <w:rPr>
                <w:noProof/>
                <w:webHidden/>
              </w:rPr>
            </w:r>
            <w:r w:rsidR="00392352" w:rsidRPr="00392352">
              <w:rPr>
                <w:noProof/>
                <w:webHidden/>
              </w:rPr>
              <w:fldChar w:fldCharType="separate"/>
            </w:r>
            <w:r w:rsidR="00392352" w:rsidRPr="00392352">
              <w:rPr>
                <w:noProof/>
                <w:webHidden/>
              </w:rPr>
              <w:t>4</w:t>
            </w:r>
            <w:r w:rsidR="00392352" w:rsidRPr="00392352">
              <w:rPr>
                <w:noProof/>
                <w:webHidden/>
              </w:rPr>
              <w:fldChar w:fldCharType="end"/>
            </w:r>
          </w:hyperlink>
        </w:p>
        <w:p w:rsidR="00392352" w:rsidRPr="00392352" w:rsidRDefault="00392352" w:rsidP="00392352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34" w:history="1">
            <w:r w:rsidRPr="00392352">
              <w:rPr>
                <w:rStyle w:val="ad"/>
                <w:noProof/>
              </w:rPr>
              <w:t>2.</w:t>
            </w:r>
            <w:r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2352">
              <w:rPr>
                <w:rStyle w:val="ad"/>
                <w:noProof/>
              </w:rPr>
              <w:t>ФОРМЫ САМОСТОЯТЕЛЬНОЙ РАБОТЫ ОБУЧАЮЩИХСЯ</w:t>
            </w:r>
            <w:r w:rsidRPr="00392352">
              <w:rPr>
                <w:noProof/>
                <w:webHidden/>
              </w:rPr>
              <w:tab/>
            </w:r>
            <w:r w:rsidRPr="00392352">
              <w:rPr>
                <w:noProof/>
                <w:webHidden/>
              </w:rPr>
              <w:fldChar w:fldCharType="begin"/>
            </w:r>
            <w:r w:rsidRPr="00392352">
              <w:rPr>
                <w:noProof/>
                <w:webHidden/>
              </w:rPr>
              <w:instrText xml:space="preserve"> PAGEREF _Toc95137534 \h </w:instrText>
            </w:r>
            <w:r w:rsidRPr="00392352">
              <w:rPr>
                <w:noProof/>
                <w:webHidden/>
              </w:rPr>
            </w:r>
            <w:r w:rsidRPr="00392352">
              <w:rPr>
                <w:noProof/>
                <w:webHidden/>
              </w:rPr>
              <w:fldChar w:fldCharType="separate"/>
            </w:r>
            <w:r w:rsidRPr="00392352">
              <w:rPr>
                <w:noProof/>
                <w:webHidden/>
              </w:rPr>
              <w:t>8</w:t>
            </w:r>
            <w:r w:rsidRPr="00392352">
              <w:rPr>
                <w:noProof/>
                <w:webHidden/>
              </w:rPr>
              <w:fldChar w:fldCharType="end"/>
            </w:r>
          </w:hyperlink>
        </w:p>
        <w:p w:rsidR="00392352" w:rsidRPr="00392352" w:rsidRDefault="00392352" w:rsidP="00392352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35" w:history="1">
            <w:r w:rsidRPr="00392352">
              <w:rPr>
                <w:rStyle w:val="ad"/>
                <w:noProof/>
              </w:rPr>
              <w:t>3.</w:t>
            </w:r>
            <w:r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2352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Pr="00392352">
              <w:rPr>
                <w:noProof/>
                <w:webHidden/>
              </w:rPr>
              <w:tab/>
            </w:r>
            <w:r w:rsidRPr="00392352">
              <w:rPr>
                <w:noProof/>
                <w:webHidden/>
              </w:rPr>
              <w:fldChar w:fldCharType="begin"/>
            </w:r>
            <w:r w:rsidRPr="00392352">
              <w:rPr>
                <w:noProof/>
                <w:webHidden/>
              </w:rPr>
              <w:instrText xml:space="preserve"> PAGEREF _Toc95137535 \h </w:instrText>
            </w:r>
            <w:r w:rsidRPr="00392352">
              <w:rPr>
                <w:noProof/>
                <w:webHidden/>
              </w:rPr>
            </w:r>
            <w:r w:rsidRPr="00392352">
              <w:rPr>
                <w:noProof/>
                <w:webHidden/>
              </w:rPr>
              <w:fldChar w:fldCharType="separate"/>
            </w:r>
            <w:r w:rsidRPr="00392352">
              <w:rPr>
                <w:noProof/>
                <w:webHidden/>
              </w:rPr>
              <w:t>18</w:t>
            </w:r>
            <w:r w:rsidRPr="00392352">
              <w:rPr>
                <w:noProof/>
                <w:webHidden/>
              </w:rPr>
              <w:fldChar w:fldCharType="end"/>
            </w:r>
          </w:hyperlink>
        </w:p>
        <w:p w:rsidR="00392352" w:rsidRPr="00392352" w:rsidRDefault="00392352" w:rsidP="0039235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36" w:history="1">
            <w:r w:rsidRPr="00392352">
              <w:rPr>
                <w:rStyle w:val="ad"/>
                <w:noProof/>
              </w:rPr>
              <w:t>3.1</w:t>
            </w:r>
            <w:r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2352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Pr="00392352">
              <w:rPr>
                <w:noProof/>
                <w:webHidden/>
              </w:rPr>
              <w:tab/>
            </w:r>
            <w:r w:rsidRPr="00392352">
              <w:rPr>
                <w:noProof/>
                <w:webHidden/>
              </w:rPr>
              <w:fldChar w:fldCharType="begin"/>
            </w:r>
            <w:r w:rsidRPr="00392352">
              <w:rPr>
                <w:noProof/>
                <w:webHidden/>
              </w:rPr>
              <w:instrText xml:space="preserve"> PAGEREF _Toc95137536 \h </w:instrText>
            </w:r>
            <w:r w:rsidRPr="00392352">
              <w:rPr>
                <w:noProof/>
                <w:webHidden/>
              </w:rPr>
            </w:r>
            <w:r w:rsidRPr="00392352">
              <w:rPr>
                <w:noProof/>
                <w:webHidden/>
              </w:rPr>
              <w:fldChar w:fldCharType="separate"/>
            </w:r>
            <w:r w:rsidRPr="00392352">
              <w:rPr>
                <w:noProof/>
                <w:webHidden/>
              </w:rPr>
              <w:t>18</w:t>
            </w:r>
            <w:r w:rsidRPr="00392352">
              <w:rPr>
                <w:noProof/>
                <w:webHidden/>
              </w:rPr>
              <w:fldChar w:fldCharType="end"/>
            </w:r>
          </w:hyperlink>
        </w:p>
        <w:p w:rsidR="00392352" w:rsidRPr="00392352" w:rsidRDefault="00392352" w:rsidP="0039235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37" w:history="1">
            <w:r w:rsidRPr="00392352">
              <w:rPr>
                <w:rStyle w:val="ad"/>
                <w:noProof/>
              </w:rPr>
              <w:t>3.2</w:t>
            </w:r>
            <w:r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2352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Pr="00392352">
              <w:rPr>
                <w:noProof/>
                <w:webHidden/>
              </w:rPr>
              <w:tab/>
            </w:r>
            <w:r w:rsidRPr="00392352">
              <w:rPr>
                <w:noProof/>
                <w:webHidden/>
              </w:rPr>
              <w:fldChar w:fldCharType="begin"/>
            </w:r>
            <w:r w:rsidRPr="00392352">
              <w:rPr>
                <w:noProof/>
                <w:webHidden/>
              </w:rPr>
              <w:instrText xml:space="preserve"> PAGEREF _Toc95137537 \h </w:instrText>
            </w:r>
            <w:r w:rsidRPr="00392352">
              <w:rPr>
                <w:noProof/>
                <w:webHidden/>
              </w:rPr>
            </w:r>
            <w:r w:rsidRPr="00392352">
              <w:rPr>
                <w:noProof/>
                <w:webHidden/>
              </w:rPr>
              <w:fldChar w:fldCharType="separate"/>
            </w:r>
            <w:r w:rsidRPr="00392352">
              <w:rPr>
                <w:noProof/>
                <w:webHidden/>
              </w:rPr>
              <w:t>19</w:t>
            </w:r>
            <w:r w:rsidRPr="00392352">
              <w:rPr>
                <w:noProof/>
                <w:webHidden/>
              </w:rPr>
              <w:fldChar w:fldCharType="end"/>
            </w:r>
          </w:hyperlink>
        </w:p>
        <w:p w:rsidR="00392352" w:rsidRPr="00392352" w:rsidRDefault="00392352" w:rsidP="00392352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38" w:history="1">
            <w:r w:rsidRPr="00392352">
              <w:rPr>
                <w:rStyle w:val="ad"/>
                <w:noProof/>
              </w:rPr>
              <w:t>4.</w:t>
            </w:r>
            <w:r w:rsidRPr="003923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2352">
              <w:rPr>
                <w:rStyle w:val="ad"/>
                <w:noProof/>
              </w:rPr>
              <w:t>ОЦЕНКА САМОСТОЯТЕЛЬНОЙ РАБОТЫ</w:t>
            </w:r>
            <w:r w:rsidRPr="00392352">
              <w:rPr>
                <w:noProof/>
                <w:webHidden/>
              </w:rPr>
              <w:tab/>
            </w:r>
            <w:r w:rsidRPr="00392352">
              <w:rPr>
                <w:noProof/>
                <w:webHidden/>
              </w:rPr>
              <w:fldChar w:fldCharType="begin"/>
            </w:r>
            <w:r w:rsidRPr="00392352">
              <w:rPr>
                <w:noProof/>
                <w:webHidden/>
              </w:rPr>
              <w:instrText xml:space="preserve"> PAGEREF _Toc95137538 \h </w:instrText>
            </w:r>
            <w:r w:rsidRPr="00392352">
              <w:rPr>
                <w:noProof/>
                <w:webHidden/>
              </w:rPr>
            </w:r>
            <w:r w:rsidRPr="00392352">
              <w:rPr>
                <w:noProof/>
                <w:webHidden/>
              </w:rPr>
              <w:fldChar w:fldCharType="separate"/>
            </w:r>
            <w:r w:rsidRPr="00392352">
              <w:rPr>
                <w:noProof/>
                <w:webHidden/>
              </w:rPr>
              <w:t>21</w:t>
            </w:r>
            <w:r w:rsidRPr="00392352">
              <w:rPr>
                <w:noProof/>
                <w:webHidden/>
              </w:rPr>
              <w:fldChar w:fldCharType="end"/>
            </w:r>
          </w:hyperlink>
        </w:p>
        <w:p w:rsidR="008414BC" w:rsidRPr="00392352" w:rsidRDefault="009C7003" w:rsidP="00392352">
          <w:pPr>
            <w:spacing w:line="360" w:lineRule="auto"/>
            <w:ind w:left="567" w:hanging="567"/>
          </w:pPr>
          <w:r w:rsidRPr="00392352">
            <w:rPr>
              <w:bCs/>
            </w:rPr>
            <w:fldChar w:fldCharType="end"/>
          </w:r>
        </w:p>
      </w:sdtContent>
    </w:sdt>
    <w:p w:rsidR="00ED7042" w:rsidRPr="00392352" w:rsidRDefault="00392352" w:rsidP="00392352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392352">
        <w:rPr>
          <w:rFonts w:ascii="Times New Roman" w:hAnsi="Times New Roman" w:cs="Times New Roman"/>
          <w:color w:val="auto"/>
        </w:rPr>
        <w:br w:type="page"/>
      </w:r>
      <w:bookmarkStart w:id="0" w:name="_GoBack"/>
      <w:bookmarkEnd w:id="0"/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36199485"/>
      <w:bookmarkStart w:id="2" w:name="_Toc95137533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  <w:bookmarkEnd w:id="2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Default="00ED7042" w:rsidP="00802CDF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proofErr w:type="gramStart"/>
      <w:r w:rsidRPr="00C921F2">
        <w:t xml:space="preserve">Самостоятельная работа по дисциплине  </w:t>
      </w:r>
      <w:r w:rsidRPr="00C921F2">
        <w:rPr>
          <w:b/>
        </w:rPr>
        <w:t>«Ансамбль»</w:t>
      </w:r>
      <w:r w:rsidRPr="00C921F2">
        <w:t xml:space="preserve"> является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22BD7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802CDF" w:rsidRPr="00C921F2" w:rsidRDefault="00802CDF" w:rsidP="00802CDF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FE42CC" w:rsidRDefault="00ED7042" w:rsidP="00C31B29">
      <w:pPr>
        <w:spacing w:line="276" w:lineRule="auto"/>
        <w:ind w:firstLine="708"/>
        <w:jc w:val="both"/>
      </w:pPr>
      <w:r w:rsidRPr="00C921F2">
        <w:t xml:space="preserve">Все виды самостоятельной работы  обучающихся по дисциплине </w:t>
      </w:r>
      <w:r w:rsidRPr="00C921F2">
        <w:rPr>
          <w:b/>
        </w:rPr>
        <w:t xml:space="preserve">«Ансамбль»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802CDF" w:rsidRDefault="00802CDF" w:rsidP="00802CDF">
      <w:pPr>
        <w:spacing w:line="276" w:lineRule="auto"/>
        <w:ind w:firstLine="708"/>
      </w:pPr>
    </w:p>
    <w:p w:rsidR="00802CDF" w:rsidRDefault="00802CDF" w:rsidP="00802CDF">
      <w:pPr>
        <w:spacing w:line="276" w:lineRule="auto"/>
        <w:ind w:firstLine="708"/>
        <w:rPr>
          <w:lang w:eastAsia="zh-CN"/>
        </w:rPr>
      </w:pPr>
      <w:r>
        <w:rPr>
          <w:lang w:eastAsia="zh-CN"/>
        </w:rPr>
        <w:t>Общая трудоемкость дисциплины составляет:</w:t>
      </w:r>
    </w:p>
    <w:p w:rsidR="00802CDF" w:rsidRDefault="00802CDF" w:rsidP="00802CDF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6B5550" w:rsidRPr="001A00A3" w:rsidTr="003367E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23</w:t>
            </w:r>
          </w:p>
        </w:tc>
      </w:tr>
      <w:tr w:rsidR="006B5550" w:rsidRPr="001A00A3" w:rsidTr="003367E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828</w:t>
            </w:r>
          </w:p>
        </w:tc>
      </w:tr>
      <w:tr w:rsidR="006B5550" w:rsidRPr="001A00A3" w:rsidTr="003367E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5550" w:rsidRPr="001A00A3" w:rsidRDefault="006B5550" w:rsidP="003367E9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621</w:t>
            </w:r>
          </w:p>
        </w:tc>
      </w:tr>
    </w:tbl>
    <w:p w:rsidR="006B5550" w:rsidRDefault="006B5550" w:rsidP="00802CDF">
      <w:pPr>
        <w:spacing w:line="276" w:lineRule="auto"/>
        <w:ind w:firstLine="708"/>
        <w:rPr>
          <w:lang w:eastAsia="zh-CN"/>
        </w:rPr>
      </w:pPr>
    </w:p>
    <w:p w:rsidR="00802CDF" w:rsidRDefault="00802CDF" w:rsidP="00802CDF">
      <w:pPr>
        <w:spacing w:line="276" w:lineRule="auto"/>
        <w:rPr>
          <w:lang w:eastAsia="zh-CN"/>
        </w:rPr>
        <w:sectPr w:rsidR="00802CDF" w:rsidSect="00DB27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42CC" w:rsidRPr="00C921F2" w:rsidRDefault="00FE42CC" w:rsidP="00FA53B8">
      <w:pPr>
        <w:rPr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E939A5" w:rsidRDefault="00E939A5" w:rsidP="00FA53B8">
      <w:pPr>
        <w:rPr>
          <w:lang w:eastAsia="zh-CN"/>
        </w:rPr>
      </w:pPr>
    </w:p>
    <w:p w:rsidR="00802CDF" w:rsidRDefault="00802CDF" w:rsidP="00FA53B8">
      <w:pPr>
        <w:rPr>
          <w:lang w:eastAsia="zh-CN"/>
        </w:rPr>
      </w:pPr>
      <w:r>
        <w:rPr>
          <w:lang w:eastAsia="zh-CN"/>
        </w:rPr>
        <w:t>- для очной формы обучения:</w:t>
      </w:r>
    </w:p>
    <w:p w:rsidR="00802CDF" w:rsidRDefault="00802CDF" w:rsidP="00FA53B8">
      <w:pPr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46"/>
        <w:gridCol w:w="1105"/>
        <w:gridCol w:w="2815"/>
        <w:gridCol w:w="1946"/>
        <w:gridCol w:w="778"/>
        <w:gridCol w:w="778"/>
        <w:gridCol w:w="778"/>
        <w:gridCol w:w="778"/>
        <w:gridCol w:w="778"/>
        <w:gridCol w:w="784"/>
      </w:tblGrid>
      <w:tr w:rsidR="006B5550" w:rsidRPr="002D75CE" w:rsidTr="003367E9">
        <w:trPr>
          <w:trHeight w:val="315"/>
        </w:trPr>
        <w:tc>
          <w:tcPr>
            <w:tcW w:w="27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Виды учебной деятельности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 xml:space="preserve">Всего </w:t>
            </w:r>
          </w:p>
        </w:tc>
        <w:tc>
          <w:tcPr>
            <w:tcW w:w="15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Семестры</w:t>
            </w:r>
          </w:p>
        </w:tc>
      </w:tr>
      <w:tr w:rsidR="006B5550" w:rsidRPr="002D75CE" w:rsidTr="003367E9">
        <w:trPr>
          <w:trHeight w:val="315"/>
        </w:trPr>
        <w:tc>
          <w:tcPr>
            <w:tcW w:w="27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</w:tr>
      <w:tr w:rsidR="006B5550" w:rsidRPr="002D75CE" w:rsidTr="003367E9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2D75CE">
              <w:rPr>
                <w:b/>
                <w:bCs/>
                <w:color w:val="000000"/>
              </w:rPr>
              <w:t>обучающихся</w:t>
            </w:r>
            <w:proofErr w:type="gramEnd"/>
            <w:r w:rsidRPr="002D75CE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196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26</w:t>
            </w:r>
          </w:p>
        </w:tc>
      </w:tr>
      <w:tr w:rsidR="006B5550" w:rsidRPr="002D75CE" w:rsidTr="003367E9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Мелкогрупповые занятия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196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26</w:t>
            </w:r>
          </w:p>
        </w:tc>
      </w:tr>
      <w:tr w:rsidR="006B5550" w:rsidRPr="002D75CE" w:rsidTr="003367E9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551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74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91</w:t>
            </w:r>
          </w:p>
        </w:tc>
      </w:tr>
      <w:tr w:rsidR="006B5550" w:rsidRPr="002D75CE" w:rsidTr="003367E9">
        <w:trPr>
          <w:trHeight w:val="315"/>
        </w:trPr>
        <w:tc>
          <w:tcPr>
            <w:tcW w:w="18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экзамен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27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27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27</w:t>
            </w:r>
          </w:p>
        </w:tc>
      </w:tr>
      <w:tr w:rsidR="006B5550" w:rsidRPr="002D75CE" w:rsidTr="003367E9">
        <w:trPr>
          <w:trHeight w:val="360"/>
        </w:trPr>
        <w:tc>
          <w:tcPr>
            <w:tcW w:w="18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зачет с оценкой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ДЗ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ДЗ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ДЗ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</w:tr>
      <w:tr w:rsidR="006B5550" w:rsidRPr="002D75CE" w:rsidTr="003367E9">
        <w:trPr>
          <w:trHeight w:val="315"/>
        </w:trPr>
        <w:tc>
          <w:tcPr>
            <w:tcW w:w="1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828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144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144</w:t>
            </w:r>
          </w:p>
        </w:tc>
      </w:tr>
      <w:tr w:rsidR="006B5550" w:rsidRPr="002D75CE" w:rsidTr="003367E9">
        <w:trPr>
          <w:trHeight w:val="315"/>
        </w:trPr>
        <w:tc>
          <w:tcPr>
            <w:tcW w:w="1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</w:tr>
    </w:tbl>
    <w:p w:rsidR="00E939A5" w:rsidRDefault="00E939A5" w:rsidP="00FA53B8">
      <w:pPr>
        <w:jc w:val="right"/>
        <w:rPr>
          <w:lang w:eastAsia="zh-CN"/>
        </w:rPr>
      </w:pPr>
    </w:p>
    <w:p w:rsidR="00802CDF" w:rsidRPr="00E822E7" w:rsidRDefault="00802CDF" w:rsidP="00FA53B8">
      <w:pPr>
        <w:jc w:val="both"/>
        <w:rPr>
          <w:lang w:eastAsia="zh-CN"/>
        </w:rPr>
      </w:pPr>
      <w:r>
        <w:rPr>
          <w:lang w:eastAsia="zh-CN"/>
        </w:rPr>
        <w:t>- для заочной формы обучения:</w:t>
      </w:r>
    </w:p>
    <w:p w:rsidR="00802CDF" w:rsidRPr="00E822E7" w:rsidRDefault="00802CDF" w:rsidP="00FA53B8">
      <w:pPr>
        <w:jc w:val="right"/>
        <w:rPr>
          <w:lang w:eastAsia="zh-CN"/>
        </w:rPr>
      </w:pPr>
      <w:r w:rsidRPr="00E822E7">
        <w:rPr>
          <w:lang w:eastAsia="zh-CN"/>
        </w:rPr>
        <w:t>Таблица 2</w:t>
      </w:r>
    </w:p>
    <w:p w:rsidR="00FA53B8" w:rsidRDefault="00FA53B8" w:rsidP="00FA53B8">
      <w:pPr>
        <w:autoSpaceDE w:val="0"/>
        <w:autoSpaceDN w:val="0"/>
        <w:adjustRightInd w:val="0"/>
        <w:ind w:firstLine="567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17"/>
        <w:gridCol w:w="1022"/>
        <w:gridCol w:w="2596"/>
        <w:gridCol w:w="1798"/>
        <w:gridCol w:w="645"/>
        <w:gridCol w:w="645"/>
        <w:gridCol w:w="645"/>
        <w:gridCol w:w="645"/>
        <w:gridCol w:w="719"/>
        <w:gridCol w:w="719"/>
        <w:gridCol w:w="719"/>
        <w:gridCol w:w="716"/>
      </w:tblGrid>
      <w:tr w:rsidR="006B5550" w:rsidRPr="002D75CE" w:rsidTr="003367E9">
        <w:trPr>
          <w:trHeight w:val="315"/>
        </w:trPr>
        <w:tc>
          <w:tcPr>
            <w:tcW w:w="25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Виды учебной деятельности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 xml:space="preserve">Всего </w:t>
            </w:r>
          </w:p>
        </w:tc>
        <w:tc>
          <w:tcPr>
            <w:tcW w:w="1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Семестры</w:t>
            </w:r>
          </w:p>
        </w:tc>
      </w:tr>
      <w:tr w:rsidR="006B5550" w:rsidRPr="002D75CE" w:rsidTr="003367E9">
        <w:trPr>
          <w:trHeight w:val="315"/>
        </w:trPr>
        <w:tc>
          <w:tcPr>
            <w:tcW w:w="25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10</w:t>
            </w:r>
          </w:p>
        </w:tc>
      </w:tr>
      <w:tr w:rsidR="006B5550" w:rsidRPr="002D75CE" w:rsidTr="003367E9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2D75CE">
              <w:rPr>
                <w:b/>
                <w:bCs/>
                <w:color w:val="000000"/>
              </w:rPr>
              <w:t>обучающихся</w:t>
            </w:r>
            <w:proofErr w:type="gramEnd"/>
            <w:r w:rsidRPr="002D75CE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54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</w:t>
            </w:r>
          </w:p>
        </w:tc>
      </w:tr>
      <w:tr w:rsidR="006B5550" w:rsidRPr="002D75CE" w:rsidTr="003367E9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Мелкогрупповые занятия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54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</w:tr>
      <w:tr w:rsidR="006B5550" w:rsidRPr="002D75CE" w:rsidTr="003367E9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741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109</w:t>
            </w:r>
          </w:p>
        </w:tc>
      </w:tr>
      <w:tr w:rsidR="006B5550" w:rsidRPr="002D75CE" w:rsidTr="003367E9">
        <w:trPr>
          <w:trHeight w:val="315"/>
        </w:trPr>
        <w:tc>
          <w:tcPr>
            <w:tcW w:w="1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экзамен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9</w:t>
            </w:r>
          </w:p>
        </w:tc>
      </w:tr>
      <w:tr w:rsidR="006B5550" w:rsidRPr="002D75CE" w:rsidTr="003367E9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зачет с оценкой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</w:tr>
      <w:tr w:rsidR="006B5550" w:rsidRPr="002D75CE" w:rsidTr="003367E9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зачет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16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</w:tr>
      <w:tr w:rsidR="006B5550" w:rsidRPr="002D75CE" w:rsidTr="003367E9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50" w:rsidRPr="002D75CE" w:rsidRDefault="006B5550" w:rsidP="003367E9">
            <w:pPr>
              <w:rPr>
                <w:color w:val="000000"/>
              </w:rPr>
            </w:pPr>
            <w:r w:rsidRPr="002D75CE">
              <w:rPr>
                <w:color w:val="000000"/>
              </w:rPr>
              <w:t>др.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2D75CE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color w:val="000000"/>
              </w:rPr>
            </w:pPr>
            <w:r w:rsidRPr="002D75CE">
              <w:rPr>
                <w:color w:val="000000"/>
              </w:rPr>
              <w:t> </w:t>
            </w:r>
          </w:p>
        </w:tc>
      </w:tr>
      <w:tr w:rsidR="006B5550" w:rsidRPr="002D75CE" w:rsidTr="003367E9">
        <w:trPr>
          <w:trHeight w:val="315"/>
        </w:trPr>
        <w:tc>
          <w:tcPr>
            <w:tcW w:w="13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828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126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126</w:t>
            </w:r>
          </w:p>
        </w:tc>
      </w:tr>
      <w:tr w:rsidR="006B5550" w:rsidRPr="002D75CE" w:rsidTr="003367E9">
        <w:trPr>
          <w:trHeight w:val="315"/>
        </w:trPr>
        <w:tc>
          <w:tcPr>
            <w:tcW w:w="1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B5550" w:rsidRPr="002D75CE" w:rsidRDefault="006B5550" w:rsidP="003367E9">
            <w:pPr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2,5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5550" w:rsidRPr="002D75CE" w:rsidRDefault="006B5550" w:rsidP="003367E9">
            <w:pPr>
              <w:jc w:val="center"/>
              <w:rPr>
                <w:b/>
                <w:bCs/>
                <w:color w:val="000000"/>
              </w:rPr>
            </w:pPr>
            <w:r w:rsidRPr="002D75CE">
              <w:rPr>
                <w:b/>
                <w:bCs/>
                <w:color w:val="000000"/>
              </w:rPr>
              <w:t>3,5</w:t>
            </w:r>
          </w:p>
        </w:tc>
      </w:tr>
    </w:tbl>
    <w:p w:rsidR="006B5550" w:rsidRDefault="006B5550" w:rsidP="00FA53B8">
      <w:pPr>
        <w:autoSpaceDE w:val="0"/>
        <w:autoSpaceDN w:val="0"/>
        <w:adjustRightInd w:val="0"/>
        <w:ind w:firstLine="567"/>
        <w:jc w:val="both"/>
        <w:sectPr w:rsidR="006B5550" w:rsidSect="00DB27A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392352" w:rsidRDefault="00392352" w:rsidP="00392352">
      <w:pPr>
        <w:spacing w:line="276" w:lineRule="auto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392352" w:rsidRPr="00C921F2" w:rsidRDefault="00392352" w:rsidP="0039235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392352" w:rsidRDefault="00392352" w:rsidP="00392352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t>Проведение мелкогрупповых занятий с преподавателем. И</w:t>
      </w:r>
      <w:r w:rsidRPr="0068457A">
        <w:rPr>
          <w:color w:val="000000"/>
        </w:rPr>
        <w:t>гра в дуэте, трио, квартете, квинтете. Участие в однородных  и смешанных ансамблях. Формирование и развитие навыка ансамблевого аккомпанемента солистам.</w:t>
      </w:r>
    </w:p>
    <w:p w:rsidR="00392352" w:rsidRDefault="00392352" w:rsidP="00392352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 w:rsidRPr="0068457A">
        <w:rPr>
          <w:color w:val="000000"/>
        </w:rPr>
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</w:r>
    </w:p>
    <w:p w:rsidR="00392352" w:rsidRPr="0068457A" w:rsidRDefault="00392352" w:rsidP="00392352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Прохождение аттестационных мероприятий.</w:t>
      </w:r>
    </w:p>
    <w:p w:rsidR="00392352" w:rsidRPr="00C921F2" w:rsidRDefault="00392352" w:rsidP="00392352">
      <w:pPr>
        <w:autoSpaceDE w:val="0"/>
        <w:autoSpaceDN w:val="0"/>
        <w:adjustRightInd w:val="0"/>
        <w:ind w:firstLine="567"/>
        <w:jc w:val="both"/>
      </w:pPr>
    </w:p>
    <w:p w:rsidR="00392352" w:rsidRDefault="00392352" w:rsidP="00392352">
      <w:pPr>
        <w:autoSpaceDE w:val="0"/>
        <w:autoSpaceDN w:val="0"/>
        <w:adjustRightInd w:val="0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392352" w:rsidRPr="00C921F2" w:rsidRDefault="00392352" w:rsidP="00392352">
      <w:pPr>
        <w:autoSpaceDE w:val="0"/>
        <w:autoSpaceDN w:val="0"/>
        <w:adjustRightInd w:val="0"/>
        <w:ind w:firstLine="567"/>
        <w:jc w:val="both"/>
      </w:pPr>
    </w:p>
    <w:p w:rsidR="00392352" w:rsidRPr="00C921F2" w:rsidRDefault="00392352" w:rsidP="00392352">
      <w:pPr>
        <w:autoSpaceDE w:val="0"/>
        <w:spacing w:after="200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392352" w:rsidRDefault="00392352" w:rsidP="00392352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392352" w:rsidRPr="00C921F2" w:rsidRDefault="00392352" w:rsidP="00392352">
      <w:pPr>
        <w:jc w:val="both"/>
        <w:rPr>
          <w:b/>
        </w:rPr>
      </w:pP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изучить стилистические особенности произведения, характерные для автора и для эпохи создания;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технически выучить ансамблевые партии;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68457A">
        <w:t>работать над интонацией, фразировкой, формой произведения;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68457A">
        <w:t>выучить метроритмические особенности произведения</w:t>
      </w:r>
      <w:r w:rsidRPr="00C921F2">
        <w:t>, динамические оттенки, штриховую палитру сочинения;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 xml:space="preserve">проработать художественный образ произведения, сформировать собственную трактовку музыкального сочинения; 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сформировать навык ансамблевого взаимодействия;</w:t>
      </w:r>
    </w:p>
    <w:p w:rsidR="00392352" w:rsidRPr="00C921F2" w:rsidRDefault="00392352" w:rsidP="00392352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подготовиться к концертному выступлению в составе ансамбля.</w:t>
      </w:r>
    </w:p>
    <w:p w:rsidR="00392352" w:rsidRPr="00C921F2" w:rsidRDefault="00392352" w:rsidP="00392352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392352" w:rsidRPr="00C921F2" w:rsidRDefault="00392352" w:rsidP="00392352">
      <w:pPr>
        <w:autoSpaceDE w:val="0"/>
        <w:spacing w:after="200" w:line="276" w:lineRule="auto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392352" w:rsidRPr="00C921F2" w:rsidRDefault="00392352" w:rsidP="00392352">
      <w:pPr>
        <w:autoSpaceDE w:val="0"/>
        <w:spacing w:after="200" w:line="276" w:lineRule="auto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392352" w:rsidRPr="00C921F2" w:rsidRDefault="00392352" w:rsidP="00392352">
      <w:pPr>
        <w:autoSpaceDE w:val="0"/>
        <w:spacing w:after="200" w:line="276" w:lineRule="auto"/>
        <w:ind w:firstLine="720"/>
        <w:jc w:val="both"/>
      </w:pPr>
      <w:r w:rsidRPr="00C921F2">
        <w:lastRenderedPageBreak/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t>работы даёт педагогу основания</w:t>
      </w:r>
      <w:r w:rsidRPr="00C921F2">
        <w:t>:</w:t>
      </w:r>
    </w:p>
    <w:p w:rsidR="00392352" w:rsidRPr="00C921F2" w:rsidRDefault="00392352" w:rsidP="00392352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392352" w:rsidRPr="00C921F2" w:rsidRDefault="00392352" w:rsidP="00392352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392352" w:rsidRPr="00C921F2" w:rsidRDefault="00392352" w:rsidP="00392352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392352" w:rsidRPr="00C921F2" w:rsidRDefault="00392352" w:rsidP="00392352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392352" w:rsidRPr="00C921F2" w:rsidRDefault="00392352" w:rsidP="00392352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Pr="00C921F2">
        <w:t>выученности</w:t>
      </w:r>
      <w:proofErr w:type="spellEnd"/>
      <w:r w:rsidRPr="00C921F2">
        <w:t xml:space="preserve"> нотного материала, скорости реакции на вносимые педагогом коррективы в исполнение, понимании действий всех участников ансамбля и умении предугадывать их действия. </w:t>
      </w:r>
      <w:r>
        <w:t>Оценки</w:t>
      </w:r>
      <w:r w:rsidRPr="00C921F2">
        <w:t xml:space="preserve">, полученные студентом по результатам аудиторной работы, формируют </w:t>
      </w:r>
      <w:r>
        <w:t xml:space="preserve">итоговую </w:t>
      </w:r>
      <w:r w:rsidRPr="00C921F2">
        <w:t xml:space="preserve"> оценку текущей успеваемости студента по дисциплине</w:t>
      </w:r>
      <w:r>
        <w:t xml:space="preserve"> в семестре</w:t>
      </w:r>
      <w:r w:rsidRPr="00C921F2">
        <w:t>.</w:t>
      </w:r>
    </w:p>
    <w:p w:rsidR="00D00085" w:rsidRPr="00082AF2" w:rsidRDefault="00D00085" w:rsidP="00BB2AD1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95137534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3"/>
      <w:bookmarkEnd w:id="4"/>
      <w:proofErr w:type="gramEnd"/>
    </w:p>
    <w:p w:rsidR="00BE1191" w:rsidRPr="00C921F2" w:rsidRDefault="00BE1191" w:rsidP="00C921F2"/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34"/>
        <w:gridCol w:w="670"/>
        <w:gridCol w:w="657"/>
        <w:gridCol w:w="2969"/>
        <w:gridCol w:w="1665"/>
      </w:tblGrid>
      <w:tr w:rsidR="00C657F7" w:rsidRPr="00082AF2" w:rsidTr="006E2840">
        <w:trPr>
          <w:trHeight w:val="2033"/>
        </w:trPr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C657F7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  <w:p w:rsidR="006E2840" w:rsidRPr="00082AF2" w:rsidRDefault="006E2840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1533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F86356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34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F86356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40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Освоение своей партии, работа над интонацией, фразировкой, </w:t>
            </w:r>
            <w:r w:rsidRPr="00082AF2">
              <w:rPr>
                <w:color w:val="000000"/>
              </w:rPr>
              <w:lastRenderedPageBreak/>
              <w:t>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36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6B55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BB2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</w:t>
            </w:r>
            <w:r w:rsidRPr="00082AF2">
              <w:rPr>
                <w:color w:val="000000"/>
              </w:rPr>
              <w:lastRenderedPageBreak/>
              <w:t>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BB2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47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F86356" w:rsidP="00C657F7">
            <w:pPr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 xml:space="preserve"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</w:t>
            </w:r>
            <w:r w:rsidRPr="00082AF2">
              <w:rPr>
                <w:bCs/>
                <w:color w:val="000000"/>
              </w:rPr>
              <w:lastRenderedPageBreak/>
              <w:t>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lastRenderedPageBreak/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учебной литературы, содержащей сведения о </w:t>
            </w:r>
            <w:r w:rsidRPr="00082AF2">
              <w:rPr>
                <w:color w:val="000000"/>
              </w:rPr>
              <w:lastRenderedPageBreak/>
              <w:t>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BF508F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BF508F" w:rsidRPr="006B5550" w:rsidRDefault="00BF508F" w:rsidP="00BF508F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BF508F" w:rsidRPr="006B5550" w:rsidRDefault="00BF508F" w:rsidP="00BF508F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BF508F" w:rsidRPr="006B5550" w:rsidRDefault="006B5550" w:rsidP="00BF508F">
            <w:pPr>
              <w:jc w:val="center"/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27</w:t>
            </w:r>
          </w:p>
        </w:tc>
      </w:tr>
    </w:tbl>
    <w:p w:rsidR="00C921F2" w:rsidRDefault="00C921F2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lastRenderedPageBreak/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21"/>
        <w:gridCol w:w="630"/>
        <w:gridCol w:w="4218"/>
        <w:gridCol w:w="1661"/>
      </w:tblGrid>
      <w:tr w:rsidR="00B31724" w:rsidRPr="00082AF2" w:rsidTr="006E2840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B31724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5" w:name="RANGE!A1"/>
            <w:r w:rsidRPr="00082AF2">
              <w:rPr>
                <w:color w:val="000000"/>
              </w:rPr>
              <w:t>№</w:t>
            </w:r>
            <w:bookmarkEnd w:id="5"/>
          </w:p>
          <w:p w:rsidR="006E2840" w:rsidRPr="00082AF2" w:rsidRDefault="006E2840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1317" w:type="pct"/>
            <w:shd w:val="clear" w:color="000000" w:fill="D9D9D9"/>
            <w:vAlign w:val="center"/>
            <w:hideMark/>
          </w:tcPr>
          <w:p w:rsidR="00B31724" w:rsidRPr="00082AF2" w:rsidRDefault="00B31724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B31724" w:rsidRPr="00082AF2" w:rsidRDefault="00B31724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29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204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III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6E2840" w:rsidP="009C54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6E2840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6E2840" w:rsidRPr="006E2840" w:rsidRDefault="006E2840" w:rsidP="003367E9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6E2840" w:rsidRPr="006E2840" w:rsidRDefault="006E2840" w:rsidP="003367E9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6E2840" w:rsidRPr="006E2840" w:rsidRDefault="006E2840" w:rsidP="003367E9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6E2840" w:rsidRPr="006E2840" w:rsidRDefault="006E2840" w:rsidP="003367E9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6E2840" w:rsidRPr="006E2840" w:rsidRDefault="006E284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 xml:space="preserve">Освоение своей партии, работа над интонацией, фразировкой, метроритмическими </w:t>
            </w:r>
            <w:r w:rsidRPr="00082AF2">
              <w:rPr>
                <w:color w:val="000000"/>
              </w:rPr>
              <w:lastRenderedPageBreak/>
              <w:t>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IV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0A6F1F" w:rsidP="009C549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6</w:t>
            </w:r>
            <w:r w:rsidR="009C5497">
              <w:rPr>
                <w:color w:val="000000"/>
              </w:rPr>
              <w:t>4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9C5497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9C5497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9C5497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9C5497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6E2840" w:rsidP="009C54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lastRenderedPageBreak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VI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0A6F1F" w:rsidP="009C549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8</w:t>
            </w:r>
            <w:r w:rsidR="009C5497">
              <w:rPr>
                <w:color w:val="000000"/>
              </w:rPr>
              <w:t>0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 с оценкой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9C5497" w:rsidP="009C54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Игра в дуэте, трио, квартете, квинтете. Однородные ансамбли. Смешанные </w:t>
            </w:r>
            <w:r w:rsidRPr="00082AF2">
              <w:rPr>
                <w:color w:val="000000"/>
              </w:rPr>
              <w:lastRenderedPageBreak/>
              <w:t>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VIII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учебной </w:t>
            </w:r>
            <w:r w:rsidRPr="00082AF2">
              <w:rPr>
                <w:color w:val="000000"/>
              </w:rPr>
              <w:lastRenderedPageBreak/>
              <w:t>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9C5497" w:rsidP="009C54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96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 с оценкой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IX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0A6F1F" w:rsidP="009C549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11</w:t>
            </w:r>
            <w:r w:rsidR="009C5497">
              <w:rPr>
                <w:color w:val="000000"/>
              </w:rPr>
              <w:t>2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4</w:t>
            </w:r>
          </w:p>
        </w:tc>
      </w:tr>
      <w:tr w:rsidR="000A6F1F" w:rsidRPr="00082AF2" w:rsidTr="006E2840">
        <w:tc>
          <w:tcPr>
            <w:tcW w:w="282" w:type="pct"/>
            <w:shd w:val="clear" w:color="auto" w:fill="auto"/>
            <w:vAlign w:val="center"/>
          </w:tcPr>
          <w:p w:rsidR="000A6F1F" w:rsidRPr="009C5497" w:rsidRDefault="000A6F1F" w:rsidP="009C5497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317" w:type="pct"/>
            <w:shd w:val="clear" w:color="auto" w:fill="auto"/>
            <w:hideMark/>
          </w:tcPr>
          <w:p w:rsidR="000A6F1F" w:rsidRPr="00082AF2" w:rsidRDefault="000A6F1F" w:rsidP="00C657F7">
            <w:pPr>
              <w:rPr>
                <w:color w:val="000000"/>
              </w:rPr>
            </w:pPr>
            <w:r w:rsidRPr="00082AF2">
              <w:rPr>
                <w:color w:val="000000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082AF2">
              <w:rPr>
                <w:color w:val="000000"/>
              </w:rPr>
              <w:br/>
            </w:r>
            <w:r w:rsidRPr="00082AF2">
              <w:rPr>
                <w:color w:val="000000"/>
              </w:rPr>
              <w:br/>
              <w:t>Освоение своей партии, 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0A6F1F" w:rsidRPr="00082AF2" w:rsidRDefault="000A6F1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X</w:t>
            </w:r>
          </w:p>
        </w:tc>
        <w:tc>
          <w:tcPr>
            <w:tcW w:w="2204" w:type="pct"/>
            <w:shd w:val="clear" w:color="auto" w:fill="auto"/>
            <w:hideMark/>
          </w:tcPr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0A6F1F" w:rsidRDefault="000A6F1F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0A6F1F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0A6F1F" w:rsidRPr="00082AF2" w:rsidRDefault="000A6F1F" w:rsidP="009251A1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0A6F1F" w:rsidRPr="00082AF2" w:rsidRDefault="000A6F1F" w:rsidP="009C549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</w:t>
            </w:r>
            <w:r w:rsidR="009C5497">
              <w:rPr>
                <w:color w:val="000000"/>
              </w:rPr>
              <w:t>09</w:t>
            </w:r>
          </w:p>
        </w:tc>
      </w:tr>
      <w:tr w:rsidR="009C5497" w:rsidRPr="006E2840" w:rsidTr="006E2840">
        <w:tc>
          <w:tcPr>
            <w:tcW w:w="282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317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</w:p>
        </w:tc>
        <w:tc>
          <w:tcPr>
            <w:tcW w:w="2204" w:type="pct"/>
            <w:shd w:val="clear" w:color="auto" w:fill="D9D9D9" w:themeFill="background1" w:themeFillShade="D9"/>
          </w:tcPr>
          <w:p w:rsidR="009C5497" w:rsidRPr="006E2840" w:rsidRDefault="009C5497" w:rsidP="00A90A21">
            <w:pPr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9C5497" w:rsidRPr="006E2840" w:rsidRDefault="009C5497" w:rsidP="009C5497">
            <w:pPr>
              <w:jc w:val="center"/>
              <w:rPr>
                <w:b/>
                <w:color w:val="000000"/>
              </w:rPr>
            </w:pPr>
            <w:r w:rsidRPr="006E2840">
              <w:rPr>
                <w:b/>
                <w:color w:val="000000"/>
              </w:rPr>
              <w:t>9</w:t>
            </w:r>
          </w:p>
        </w:tc>
      </w:tr>
    </w:tbl>
    <w:p w:rsidR="00392352" w:rsidRDefault="00D00085" w:rsidP="0039235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82AF2">
        <w:rPr>
          <w:sz w:val="28"/>
          <w:szCs w:val="28"/>
        </w:rPr>
        <w:br w:type="page"/>
      </w:r>
      <w:bookmarkStart w:id="6" w:name="_Toc87017807"/>
      <w:bookmarkStart w:id="7" w:name="_Toc95137535"/>
      <w:r w:rsidR="00392352" w:rsidRPr="0035117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РЕКОМЕНДАЦИИ ПО ОРГАНИЗАЦИИ САМОСТОЯТЕЛЬНОЙ РАБОТЫ </w:t>
      </w:r>
      <w:proofErr w:type="gramStart"/>
      <w:r w:rsidR="00392352" w:rsidRPr="0035117F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6"/>
      <w:bookmarkEnd w:id="7"/>
      <w:proofErr w:type="gramEnd"/>
    </w:p>
    <w:p w:rsidR="00392352" w:rsidRPr="00267D0D" w:rsidRDefault="00392352" w:rsidP="00392352"/>
    <w:p w:rsidR="00392352" w:rsidRDefault="00392352" w:rsidP="00392352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87017808"/>
      <w:bookmarkStart w:id="9" w:name="_Toc95137536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8"/>
      <w:bookmarkEnd w:id="9"/>
      <w:proofErr w:type="gramEnd"/>
    </w:p>
    <w:p w:rsidR="00392352" w:rsidRPr="00267D0D" w:rsidRDefault="00392352" w:rsidP="00392352">
      <w:pPr>
        <w:pStyle w:val="af1"/>
        <w:spacing w:line="276" w:lineRule="auto"/>
        <w:ind w:left="390"/>
      </w:pPr>
    </w:p>
    <w:p w:rsidR="00392352" w:rsidRPr="00C921F2" w:rsidRDefault="00392352" w:rsidP="00392352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352" w:rsidRPr="00C921F2" w:rsidRDefault="00392352" w:rsidP="00392352">
      <w:pPr>
        <w:spacing w:line="360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392352" w:rsidRPr="00C921F2" w:rsidRDefault="00392352" w:rsidP="0039235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392352" w:rsidRPr="00C921F2" w:rsidRDefault="00392352" w:rsidP="0039235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proofErr w:type="gramStart"/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процессе сквозных </w:t>
      </w:r>
      <w:proofErr w:type="spellStart"/>
      <w:r w:rsidRPr="00C921F2">
        <w:t>проигрываний</w:t>
      </w:r>
      <w:proofErr w:type="spellEnd"/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  <w:proofErr w:type="gramEnd"/>
    </w:p>
    <w:p w:rsidR="00392352" w:rsidRPr="00C921F2" w:rsidRDefault="00392352" w:rsidP="0039235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392352" w:rsidRPr="00C921F2" w:rsidRDefault="00392352" w:rsidP="00392352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исполнения разучиваемых произведений и/или ответов на вопросы художественного плана.</w:t>
      </w:r>
    </w:p>
    <w:p w:rsidR="00392352" w:rsidRPr="00082AF2" w:rsidRDefault="00392352" w:rsidP="00392352">
      <w:pPr>
        <w:spacing w:after="200" w:line="360" w:lineRule="auto"/>
      </w:pPr>
      <w:r w:rsidRPr="00082AF2">
        <w:br w:type="page"/>
      </w:r>
    </w:p>
    <w:p w:rsidR="00392352" w:rsidRPr="00267D0D" w:rsidRDefault="00392352" w:rsidP="00392352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0" w:name="_Toc536199489"/>
      <w:bookmarkStart w:id="11" w:name="_Toc87017809"/>
      <w:bookmarkStart w:id="12" w:name="_Toc95137537"/>
      <w:r w:rsidRPr="0035117F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</w:t>
      </w:r>
      <w:bookmarkStart w:id="13" w:name="_Toc536199490"/>
      <w:bookmarkEnd w:id="10"/>
      <w:r>
        <w:rPr>
          <w:rFonts w:ascii="Times New Roman" w:hAnsi="Times New Roman" w:cs="Times New Roman"/>
          <w:b/>
          <w:color w:val="auto"/>
        </w:rPr>
        <w:t xml:space="preserve"> </w:t>
      </w:r>
      <w:r w:rsidRPr="00267D0D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11"/>
      <w:bookmarkEnd w:id="12"/>
      <w:bookmarkEnd w:id="13"/>
    </w:p>
    <w:p w:rsidR="00392352" w:rsidRPr="00082AF2" w:rsidRDefault="00392352" w:rsidP="00392352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2083"/>
        <w:gridCol w:w="6798"/>
      </w:tblGrid>
      <w:tr w:rsidR="00392352" w:rsidRPr="00392352" w:rsidTr="00FC77E6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392352" w:rsidRPr="00392352" w:rsidRDefault="00392352" w:rsidP="00FC77E6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392352">
              <w:rPr>
                <w:b/>
                <w:sz w:val="24"/>
                <w:szCs w:val="24"/>
              </w:rPr>
              <w:t>№</w:t>
            </w:r>
          </w:p>
          <w:p w:rsidR="00392352" w:rsidRPr="00392352" w:rsidRDefault="00392352" w:rsidP="00FC77E6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proofErr w:type="gramStart"/>
            <w:r w:rsidRPr="00392352">
              <w:rPr>
                <w:b/>
                <w:sz w:val="24"/>
                <w:szCs w:val="24"/>
              </w:rPr>
              <w:t>п</w:t>
            </w:r>
            <w:proofErr w:type="gramEnd"/>
            <w:r w:rsidRPr="0039235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92352" w:rsidRPr="00392352" w:rsidRDefault="00392352" w:rsidP="00FC77E6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392352">
              <w:rPr>
                <w:b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392352" w:rsidRPr="00392352" w:rsidRDefault="00392352" w:rsidP="00FC77E6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392352">
              <w:rPr>
                <w:b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392352" w:rsidRPr="00392352" w:rsidTr="00FC77E6">
        <w:tc>
          <w:tcPr>
            <w:tcW w:w="562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i/>
                <w:color w:val="FF0000"/>
                <w:sz w:val="24"/>
                <w:szCs w:val="24"/>
              </w:rPr>
            </w:pPr>
            <w:r w:rsidRPr="00392352">
              <w:rPr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</w:tc>
        <w:tc>
          <w:tcPr>
            <w:tcW w:w="6798" w:type="dxa"/>
          </w:tcPr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музыканта, выучивается нотный текст, выполняется </w:t>
            </w:r>
            <w:r w:rsidRPr="00392352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92352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разыгрывание,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 w:rsidRPr="00392352">
              <w:rPr>
                <w:sz w:val="24"/>
                <w:szCs w:val="24"/>
              </w:rPr>
              <w:t>и</w:t>
            </w:r>
            <w:proofErr w:type="gramEnd"/>
            <w:r w:rsidRPr="00392352">
              <w:rPr>
                <w:sz w:val="24"/>
                <w:szCs w:val="24"/>
              </w:rPr>
              <w:t xml:space="preserve"> недели, нужно каждый день выучивать новый участник нотного материала.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 w:rsidRPr="00392352">
              <w:rPr>
                <w:color w:val="000000"/>
                <w:sz w:val="24"/>
                <w:szCs w:val="24"/>
              </w:rPr>
              <w:t>интонацию, фразировку, метроритмические особенности произведения, динамические оттенки и штриховой палитру до совершенства.</w:t>
            </w:r>
            <w:r w:rsidRPr="00392352">
              <w:rPr>
                <w:sz w:val="24"/>
                <w:szCs w:val="24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</w:t>
            </w:r>
            <w:proofErr w:type="gramStart"/>
            <w:r w:rsidRPr="00392352">
              <w:rPr>
                <w:sz w:val="24"/>
                <w:szCs w:val="24"/>
              </w:rPr>
              <w:t>объединяя</w:t>
            </w:r>
            <w:proofErr w:type="gramEnd"/>
            <w:r w:rsidRPr="00392352">
              <w:rPr>
                <w:sz w:val="24"/>
                <w:szCs w:val="24"/>
              </w:rPr>
              <w:t xml:space="preserve"> их друг с другом.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</w:t>
            </w:r>
            <w:r w:rsidRPr="00392352">
              <w:rPr>
                <w:sz w:val="24"/>
                <w:szCs w:val="24"/>
              </w:rPr>
              <w:lastRenderedPageBreak/>
              <w:t>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</w:p>
        </w:tc>
      </w:tr>
      <w:tr w:rsidR="00392352" w:rsidRPr="00392352" w:rsidTr="00FC77E6">
        <w:tc>
          <w:tcPr>
            <w:tcW w:w="562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985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392352">
              <w:rPr>
                <w:color w:val="000000"/>
                <w:sz w:val="24"/>
                <w:szCs w:val="24"/>
              </w:rPr>
              <w:t>Репетиционные занятия в составе ансамбля</w:t>
            </w:r>
          </w:p>
        </w:tc>
        <w:tc>
          <w:tcPr>
            <w:tcW w:w="6798" w:type="dxa"/>
          </w:tcPr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Репетиционные занятия в составе ансамбля закрепляют полученный результат в индивидуальных репетициях, а также развивают навыки музыкального взаимодействия в коллективе. 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Основной целью самостоятельных ансамблевых репетиций является получение однородности звучания всего коллектива. На таких занятиях студенты добиваются штрихового, динамического, тембрового единства, учатся одновременно вступать и заканчивать исполнение, совершенствуют умение совместно изменять темп.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</w:t>
            </w:r>
            <w:proofErr w:type="spellStart"/>
            <w:r w:rsidRPr="00392352">
              <w:rPr>
                <w:sz w:val="24"/>
                <w:szCs w:val="24"/>
              </w:rPr>
              <w:t>агогические</w:t>
            </w:r>
            <w:proofErr w:type="spellEnd"/>
            <w:r w:rsidRPr="00392352">
              <w:rPr>
                <w:sz w:val="24"/>
                <w:szCs w:val="24"/>
              </w:rPr>
              <w:t xml:space="preserve"> и динамические нюансы, обсуждается характер и образная составляющая сочинения.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На каждой репетиции 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</w:tc>
      </w:tr>
      <w:tr w:rsidR="00392352" w:rsidRPr="00392352" w:rsidTr="00FC77E6">
        <w:trPr>
          <w:trHeight w:val="2684"/>
        </w:trPr>
        <w:tc>
          <w:tcPr>
            <w:tcW w:w="562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392352">
              <w:rPr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</w:t>
            </w:r>
            <w:proofErr w:type="gramStart"/>
            <w:r w:rsidRPr="00392352">
              <w:rPr>
                <w:sz w:val="24"/>
                <w:szCs w:val="24"/>
              </w:rPr>
              <w:t>я(</w:t>
            </w:r>
            <w:proofErr w:type="gramEnd"/>
            <w:r w:rsidRPr="00392352">
              <w:rPr>
                <w:sz w:val="24"/>
                <w:szCs w:val="24"/>
              </w:rPr>
              <w:t xml:space="preserve">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392352" w:rsidRPr="00392352" w:rsidTr="00FC77E6">
        <w:tc>
          <w:tcPr>
            <w:tcW w:w="562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392352" w:rsidRPr="00392352" w:rsidRDefault="00392352" w:rsidP="00FC77E6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392352">
              <w:rPr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392352">
              <w:rPr>
                <w:color w:val="000000"/>
                <w:sz w:val="24"/>
                <w:szCs w:val="24"/>
              </w:rPr>
              <w:t>медиаконтента</w:t>
            </w:r>
            <w:proofErr w:type="spellEnd"/>
            <w:r w:rsidRPr="00392352">
              <w:rPr>
                <w:color w:val="000000"/>
                <w:sz w:val="24"/>
                <w:szCs w:val="24"/>
              </w:rPr>
              <w:t xml:space="preserve"> по исполняемому материалу.</w:t>
            </w:r>
          </w:p>
        </w:tc>
        <w:tc>
          <w:tcPr>
            <w:tcW w:w="6798" w:type="dxa"/>
          </w:tcPr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Современный мир предлагает много путей получение информации и один из самых доступных и наглядных для музыканта является </w:t>
            </w:r>
            <w:proofErr w:type="spellStart"/>
            <w:r w:rsidRPr="00392352">
              <w:rPr>
                <w:sz w:val="24"/>
                <w:szCs w:val="24"/>
              </w:rPr>
              <w:t>медиаконтент</w:t>
            </w:r>
            <w:proofErr w:type="spellEnd"/>
            <w:r w:rsidRPr="00392352">
              <w:rPr>
                <w:sz w:val="24"/>
                <w:szCs w:val="24"/>
              </w:rPr>
              <w:t xml:space="preserve">. Множество аудио и </w:t>
            </w:r>
            <w:proofErr w:type="gramStart"/>
            <w:r w:rsidRPr="00392352">
              <w:rPr>
                <w:sz w:val="24"/>
                <w:szCs w:val="24"/>
              </w:rPr>
              <w:t>видео записей</w:t>
            </w:r>
            <w:proofErr w:type="gramEnd"/>
            <w:r w:rsidRPr="00392352">
              <w:rPr>
                <w:sz w:val="24"/>
                <w:szCs w:val="24"/>
              </w:rPr>
              <w:t xml:space="preserve">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392352" w:rsidRPr="00392352" w:rsidRDefault="00392352" w:rsidP="00FC77E6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92352">
              <w:rPr>
                <w:sz w:val="24"/>
                <w:szCs w:val="24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</w:t>
            </w:r>
            <w:r w:rsidRPr="00392352">
              <w:rPr>
                <w:sz w:val="24"/>
                <w:szCs w:val="24"/>
              </w:rPr>
              <w:lastRenderedPageBreak/>
              <w:t xml:space="preserve">мастеров, </w:t>
            </w:r>
            <w:proofErr w:type="gramStart"/>
            <w:r w:rsidRPr="00392352">
              <w:rPr>
                <w:sz w:val="24"/>
                <w:szCs w:val="24"/>
              </w:rPr>
              <w:t>обучающийся</w:t>
            </w:r>
            <w:proofErr w:type="gramEnd"/>
            <w:r w:rsidRPr="00392352">
              <w:rPr>
                <w:sz w:val="24"/>
                <w:szCs w:val="24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392352" w:rsidRPr="006931E3" w:rsidRDefault="00392352" w:rsidP="0039235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4" w:name="_Toc536199491"/>
    </w:p>
    <w:p w:rsidR="00392352" w:rsidRPr="006931E3" w:rsidRDefault="00392352" w:rsidP="0039235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</w:p>
    <w:p w:rsidR="00392352" w:rsidRDefault="00392352" w:rsidP="0039235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87017810"/>
      <w:bookmarkStart w:id="16" w:name="_Toc95137538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ОЦЕНКА САМОСТОЯТЕЛЬНОЙ РАБОТЫ</w:t>
      </w:r>
      <w:bookmarkEnd w:id="14"/>
      <w:bookmarkEnd w:id="15"/>
      <w:bookmarkEnd w:id="16"/>
    </w:p>
    <w:p w:rsidR="00392352" w:rsidRPr="00267D0D" w:rsidRDefault="00392352" w:rsidP="00392352"/>
    <w:p w:rsidR="00392352" w:rsidRDefault="00392352" w:rsidP="00392352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392352" w:rsidRPr="00C921F2" w:rsidRDefault="00392352" w:rsidP="00392352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392352" w:rsidRPr="00C921F2" w:rsidRDefault="00392352" w:rsidP="00392352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392352" w:rsidRPr="00C921F2" w:rsidRDefault="00392352" w:rsidP="00392352">
      <w:pPr>
        <w:pStyle w:val="af1"/>
        <w:numPr>
          <w:ilvl w:val="0"/>
          <w:numId w:val="22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392352" w:rsidRPr="00C921F2" w:rsidRDefault="00392352" w:rsidP="00392352">
      <w:pPr>
        <w:pStyle w:val="af1"/>
        <w:numPr>
          <w:ilvl w:val="0"/>
          <w:numId w:val="22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392352" w:rsidRPr="00C921F2" w:rsidRDefault="00392352" w:rsidP="00392352">
      <w:pPr>
        <w:pStyle w:val="af1"/>
        <w:numPr>
          <w:ilvl w:val="0"/>
          <w:numId w:val="22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392352" w:rsidRPr="00C921F2" w:rsidRDefault="00392352" w:rsidP="00392352">
      <w:pPr>
        <w:pStyle w:val="af1"/>
        <w:numPr>
          <w:ilvl w:val="0"/>
          <w:numId w:val="22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392352" w:rsidRPr="00C921F2" w:rsidRDefault="00392352" w:rsidP="00392352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392352" w:rsidRPr="00C921F2" w:rsidRDefault="00392352" w:rsidP="00392352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</w:t>
      </w:r>
      <w:r w:rsidRPr="00C921F2">
        <w:lastRenderedPageBreak/>
        <w:t xml:space="preserve">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392352" w:rsidRPr="00C921F2" w:rsidRDefault="00392352" w:rsidP="00392352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392352" w:rsidRPr="00C921F2" w:rsidRDefault="00392352" w:rsidP="00392352">
      <w:pPr>
        <w:spacing w:after="240"/>
        <w:ind w:firstLine="720"/>
        <w:jc w:val="both"/>
      </w:pPr>
      <w:r>
        <w:t xml:space="preserve">Следует отметить и все шире проникающие в учебный процесс автоматизированные обучающие и </w:t>
      </w:r>
      <w:proofErr w:type="spellStart"/>
      <w:r>
        <w:t>обучающе</w:t>
      </w:r>
      <w:proofErr w:type="spellEnd"/>
      <w:r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sectPr w:rsidR="00D00085" w:rsidRPr="00082AF2" w:rsidSect="00DB27A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86" w:rsidRDefault="00FA6986" w:rsidP="00786DB7">
      <w:r>
        <w:separator/>
      </w:r>
    </w:p>
  </w:endnote>
  <w:endnote w:type="continuationSeparator" w:id="0">
    <w:p w:rsidR="00FA6986" w:rsidRDefault="00FA6986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816950"/>
      <w:docPartObj>
        <w:docPartGallery w:val="Page Numbers (Bottom of Page)"/>
        <w:docPartUnique/>
      </w:docPartObj>
    </w:sdtPr>
    <w:sdtEndPr/>
    <w:sdtContent>
      <w:p w:rsidR="00BB2AD1" w:rsidRDefault="00BB2AD1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3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2AD1" w:rsidRDefault="00BB2AD1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AE" w:rsidRDefault="00D51498" w:rsidP="00DB27AE">
    <w:pPr>
      <w:pStyle w:val="af5"/>
      <w:jc w:val="center"/>
    </w:pPr>
    <w:r>
      <w:rPr>
        <w:b/>
        <w:bCs/>
        <w:lang w:eastAsia="zh-CN"/>
      </w:rPr>
      <w:t>Химки - 2021 г.</w:t>
    </w:r>
  </w:p>
  <w:p w:rsidR="00DB27AE" w:rsidRDefault="00DB27A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86" w:rsidRDefault="00FA6986" w:rsidP="00786DB7">
      <w:r>
        <w:separator/>
      </w:r>
    </w:p>
  </w:footnote>
  <w:footnote w:type="continuationSeparator" w:id="0">
    <w:p w:rsidR="00FA6986" w:rsidRDefault="00FA6986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AD1" w:rsidRDefault="00BB2AD1">
    <w:pPr>
      <w:pStyle w:val="af3"/>
    </w:pPr>
  </w:p>
  <w:p w:rsidR="00BB2AD1" w:rsidRDefault="00BB2AD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8EB3184"/>
    <w:multiLevelType w:val="hybridMultilevel"/>
    <w:tmpl w:val="ED543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42326"/>
    <w:multiLevelType w:val="hybridMultilevel"/>
    <w:tmpl w:val="569A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A786CA9"/>
    <w:multiLevelType w:val="hybridMultilevel"/>
    <w:tmpl w:val="E25EE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B4762D3"/>
    <w:multiLevelType w:val="hybridMultilevel"/>
    <w:tmpl w:val="ED543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"/>
  </w:num>
  <w:num w:numId="5">
    <w:abstractNumId w:val="13"/>
  </w:num>
  <w:num w:numId="6">
    <w:abstractNumId w:val="21"/>
  </w:num>
  <w:num w:numId="7">
    <w:abstractNumId w:val="5"/>
  </w:num>
  <w:num w:numId="8">
    <w:abstractNumId w:val="7"/>
  </w:num>
  <w:num w:numId="9">
    <w:abstractNumId w:val="17"/>
  </w:num>
  <w:num w:numId="10">
    <w:abstractNumId w:val="20"/>
  </w:num>
  <w:num w:numId="11">
    <w:abstractNumId w:val="8"/>
  </w:num>
  <w:num w:numId="12">
    <w:abstractNumId w:val="4"/>
  </w:num>
  <w:num w:numId="13">
    <w:abstractNumId w:val="14"/>
  </w:num>
  <w:num w:numId="14">
    <w:abstractNumId w:val="2"/>
  </w:num>
  <w:num w:numId="15">
    <w:abstractNumId w:val="15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10"/>
  </w:num>
  <w:num w:numId="21">
    <w:abstractNumId w:val="16"/>
  </w:num>
  <w:num w:numId="22">
    <w:abstractNumId w:val="9"/>
  </w:num>
  <w:num w:numId="23">
    <w:abstractNumId w:val="3"/>
  </w:num>
  <w:num w:numId="24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E8F"/>
    <w:rsid w:val="0001753A"/>
    <w:rsid w:val="0002026A"/>
    <w:rsid w:val="00033C4A"/>
    <w:rsid w:val="000340A4"/>
    <w:rsid w:val="00035073"/>
    <w:rsid w:val="00044AC3"/>
    <w:rsid w:val="0006127A"/>
    <w:rsid w:val="000630A6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97B24"/>
    <w:rsid w:val="000A6F1F"/>
    <w:rsid w:val="000B3F56"/>
    <w:rsid w:val="000C27A2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4533E"/>
    <w:rsid w:val="00152A68"/>
    <w:rsid w:val="00155EA5"/>
    <w:rsid w:val="00160204"/>
    <w:rsid w:val="00160B2F"/>
    <w:rsid w:val="00162156"/>
    <w:rsid w:val="00171106"/>
    <w:rsid w:val="0018455D"/>
    <w:rsid w:val="001A2A90"/>
    <w:rsid w:val="001B5184"/>
    <w:rsid w:val="001C5C8D"/>
    <w:rsid w:val="001D1E64"/>
    <w:rsid w:val="001D58E0"/>
    <w:rsid w:val="001F0A17"/>
    <w:rsid w:val="001F6C57"/>
    <w:rsid w:val="00205586"/>
    <w:rsid w:val="002128B7"/>
    <w:rsid w:val="00225ADE"/>
    <w:rsid w:val="00235151"/>
    <w:rsid w:val="00237919"/>
    <w:rsid w:val="002467E9"/>
    <w:rsid w:val="00254B51"/>
    <w:rsid w:val="0025729F"/>
    <w:rsid w:val="00264F66"/>
    <w:rsid w:val="00267D0D"/>
    <w:rsid w:val="00275013"/>
    <w:rsid w:val="00276015"/>
    <w:rsid w:val="00287D8C"/>
    <w:rsid w:val="002A75E4"/>
    <w:rsid w:val="002B12E9"/>
    <w:rsid w:val="002B61E0"/>
    <w:rsid w:val="002F25CC"/>
    <w:rsid w:val="0030200E"/>
    <w:rsid w:val="00313DF7"/>
    <w:rsid w:val="0033253A"/>
    <w:rsid w:val="00341359"/>
    <w:rsid w:val="0035117F"/>
    <w:rsid w:val="00367D6C"/>
    <w:rsid w:val="00392352"/>
    <w:rsid w:val="003A03E4"/>
    <w:rsid w:val="003A081C"/>
    <w:rsid w:val="003A7B32"/>
    <w:rsid w:val="003B3F6B"/>
    <w:rsid w:val="003C0A41"/>
    <w:rsid w:val="003C3EAA"/>
    <w:rsid w:val="003C633D"/>
    <w:rsid w:val="003E2352"/>
    <w:rsid w:val="003F24B2"/>
    <w:rsid w:val="004071E6"/>
    <w:rsid w:val="004166C6"/>
    <w:rsid w:val="00423FDE"/>
    <w:rsid w:val="0044334D"/>
    <w:rsid w:val="0044339E"/>
    <w:rsid w:val="00444811"/>
    <w:rsid w:val="00480AAD"/>
    <w:rsid w:val="00484C6C"/>
    <w:rsid w:val="004851FA"/>
    <w:rsid w:val="004929A5"/>
    <w:rsid w:val="004A09D5"/>
    <w:rsid w:val="004A6C38"/>
    <w:rsid w:val="004B383C"/>
    <w:rsid w:val="004B692B"/>
    <w:rsid w:val="004C1949"/>
    <w:rsid w:val="004C595F"/>
    <w:rsid w:val="004E008A"/>
    <w:rsid w:val="0050188C"/>
    <w:rsid w:val="005024B5"/>
    <w:rsid w:val="00513532"/>
    <w:rsid w:val="00521DBC"/>
    <w:rsid w:val="005312D8"/>
    <w:rsid w:val="005315C3"/>
    <w:rsid w:val="00534463"/>
    <w:rsid w:val="005357E7"/>
    <w:rsid w:val="00581AE3"/>
    <w:rsid w:val="00596FDD"/>
    <w:rsid w:val="005A398F"/>
    <w:rsid w:val="005B2F96"/>
    <w:rsid w:val="005B70CF"/>
    <w:rsid w:val="005C20BF"/>
    <w:rsid w:val="005E25E2"/>
    <w:rsid w:val="005E6183"/>
    <w:rsid w:val="00606AAF"/>
    <w:rsid w:val="0061433C"/>
    <w:rsid w:val="00622E53"/>
    <w:rsid w:val="0062590D"/>
    <w:rsid w:val="006275E6"/>
    <w:rsid w:val="0063151F"/>
    <w:rsid w:val="00644C72"/>
    <w:rsid w:val="00645723"/>
    <w:rsid w:val="0065142A"/>
    <w:rsid w:val="00654D4D"/>
    <w:rsid w:val="006554FC"/>
    <w:rsid w:val="00655DC8"/>
    <w:rsid w:val="006714D5"/>
    <w:rsid w:val="0068457A"/>
    <w:rsid w:val="006931E3"/>
    <w:rsid w:val="006A18B2"/>
    <w:rsid w:val="006B13C2"/>
    <w:rsid w:val="006B5550"/>
    <w:rsid w:val="006B7521"/>
    <w:rsid w:val="006C024A"/>
    <w:rsid w:val="006C1E42"/>
    <w:rsid w:val="006C2C54"/>
    <w:rsid w:val="006D6E31"/>
    <w:rsid w:val="006E2840"/>
    <w:rsid w:val="006E416D"/>
    <w:rsid w:val="006E431C"/>
    <w:rsid w:val="007104D9"/>
    <w:rsid w:val="007108A9"/>
    <w:rsid w:val="0071211A"/>
    <w:rsid w:val="00714A3A"/>
    <w:rsid w:val="00717669"/>
    <w:rsid w:val="00727714"/>
    <w:rsid w:val="00736A1F"/>
    <w:rsid w:val="00745680"/>
    <w:rsid w:val="00753FB7"/>
    <w:rsid w:val="007548ED"/>
    <w:rsid w:val="007556EC"/>
    <w:rsid w:val="00761DF0"/>
    <w:rsid w:val="00764D9D"/>
    <w:rsid w:val="007661A0"/>
    <w:rsid w:val="0078376E"/>
    <w:rsid w:val="00786DB7"/>
    <w:rsid w:val="007A4634"/>
    <w:rsid w:val="007C3643"/>
    <w:rsid w:val="007C51A0"/>
    <w:rsid w:val="00802CDF"/>
    <w:rsid w:val="00812214"/>
    <w:rsid w:val="00817AB5"/>
    <w:rsid w:val="00833A38"/>
    <w:rsid w:val="008373B1"/>
    <w:rsid w:val="0084023D"/>
    <w:rsid w:val="008414BC"/>
    <w:rsid w:val="00854DF9"/>
    <w:rsid w:val="008603DA"/>
    <w:rsid w:val="008610A7"/>
    <w:rsid w:val="00870B4C"/>
    <w:rsid w:val="00871E3A"/>
    <w:rsid w:val="008727D5"/>
    <w:rsid w:val="00874824"/>
    <w:rsid w:val="00884991"/>
    <w:rsid w:val="00891D2D"/>
    <w:rsid w:val="00893696"/>
    <w:rsid w:val="008A2EB9"/>
    <w:rsid w:val="008A3822"/>
    <w:rsid w:val="008E06A5"/>
    <w:rsid w:val="008E28E7"/>
    <w:rsid w:val="008F2FFE"/>
    <w:rsid w:val="009006FA"/>
    <w:rsid w:val="00917E9D"/>
    <w:rsid w:val="00920703"/>
    <w:rsid w:val="0093060A"/>
    <w:rsid w:val="00934EE5"/>
    <w:rsid w:val="009613E2"/>
    <w:rsid w:val="009622E4"/>
    <w:rsid w:val="0096759E"/>
    <w:rsid w:val="00975774"/>
    <w:rsid w:val="009A5703"/>
    <w:rsid w:val="009C5497"/>
    <w:rsid w:val="009C7003"/>
    <w:rsid w:val="009D127A"/>
    <w:rsid w:val="009E10B6"/>
    <w:rsid w:val="009F76C7"/>
    <w:rsid w:val="00A13C1D"/>
    <w:rsid w:val="00A437CC"/>
    <w:rsid w:val="00A5422D"/>
    <w:rsid w:val="00A7049C"/>
    <w:rsid w:val="00A71290"/>
    <w:rsid w:val="00A840C7"/>
    <w:rsid w:val="00A9347B"/>
    <w:rsid w:val="00A96CC8"/>
    <w:rsid w:val="00AA1B3A"/>
    <w:rsid w:val="00AC579D"/>
    <w:rsid w:val="00AD0C2B"/>
    <w:rsid w:val="00AE7AA5"/>
    <w:rsid w:val="00B161FA"/>
    <w:rsid w:val="00B25887"/>
    <w:rsid w:val="00B31724"/>
    <w:rsid w:val="00B47233"/>
    <w:rsid w:val="00B54D69"/>
    <w:rsid w:val="00B5521C"/>
    <w:rsid w:val="00B670B8"/>
    <w:rsid w:val="00B71577"/>
    <w:rsid w:val="00B724F6"/>
    <w:rsid w:val="00B80BDD"/>
    <w:rsid w:val="00B831F1"/>
    <w:rsid w:val="00BA0BEB"/>
    <w:rsid w:val="00BB2AD1"/>
    <w:rsid w:val="00BC085F"/>
    <w:rsid w:val="00BC7966"/>
    <w:rsid w:val="00BD6B71"/>
    <w:rsid w:val="00BE0318"/>
    <w:rsid w:val="00BE0BFD"/>
    <w:rsid w:val="00BE1191"/>
    <w:rsid w:val="00BE50F6"/>
    <w:rsid w:val="00BF1DC7"/>
    <w:rsid w:val="00BF508F"/>
    <w:rsid w:val="00BF5444"/>
    <w:rsid w:val="00BF5530"/>
    <w:rsid w:val="00C01899"/>
    <w:rsid w:val="00C06A8A"/>
    <w:rsid w:val="00C07A63"/>
    <w:rsid w:val="00C2312A"/>
    <w:rsid w:val="00C30CBF"/>
    <w:rsid w:val="00C31B29"/>
    <w:rsid w:val="00C55FC6"/>
    <w:rsid w:val="00C6134F"/>
    <w:rsid w:val="00C657F7"/>
    <w:rsid w:val="00C67BCE"/>
    <w:rsid w:val="00C921F2"/>
    <w:rsid w:val="00CC7AD3"/>
    <w:rsid w:val="00CD13A7"/>
    <w:rsid w:val="00CF16C0"/>
    <w:rsid w:val="00CF4A8C"/>
    <w:rsid w:val="00D00085"/>
    <w:rsid w:val="00D06D34"/>
    <w:rsid w:val="00D11D55"/>
    <w:rsid w:val="00D172D0"/>
    <w:rsid w:val="00D22BD7"/>
    <w:rsid w:val="00D32C49"/>
    <w:rsid w:val="00D35843"/>
    <w:rsid w:val="00D441EC"/>
    <w:rsid w:val="00D51498"/>
    <w:rsid w:val="00D549F6"/>
    <w:rsid w:val="00D65738"/>
    <w:rsid w:val="00D66ACE"/>
    <w:rsid w:val="00D744FC"/>
    <w:rsid w:val="00D77057"/>
    <w:rsid w:val="00D83A23"/>
    <w:rsid w:val="00DB27AE"/>
    <w:rsid w:val="00DB3AD5"/>
    <w:rsid w:val="00DD237B"/>
    <w:rsid w:val="00DE5BFD"/>
    <w:rsid w:val="00DE6010"/>
    <w:rsid w:val="00E005DA"/>
    <w:rsid w:val="00E12B52"/>
    <w:rsid w:val="00E56656"/>
    <w:rsid w:val="00E63C2C"/>
    <w:rsid w:val="00E822E7"/>
    <w:rsid w:val="00E86678"/>
    <w:rsid w:val="00E939A5"/>
    <w:rsid w:val="00E93BE4"/>
    <w:rsid w:val="00EA25FB"/>
    <w:rsid w:val="00EB4DF0"/>
    <w:rsid w:val="00EB551E"/>
    <w:rsid w:val="00EC4EDC"/>
    <w:rsid w:val="00EC6EC3"/>
    <w:rsid w:val="00ED42B6"/>
    <w:rsid w:val="00ED7042"/>
    <w:rsid w:val="00EF2C38"/>
    <w:rsid w:val="00F05A5E"/>
    <w:rsid w:val="00F06DB7"/>
    <w:rsid w:val="00F12A01"/>
    <w:rsid w:val="00F34913"/>
    <w:rsid w:val="00F60042"/>
    <w:rsid w:val="00F61DD2"/>
    <w:rsid w:val="00F63990"/>
    <w:rsid w:val="00F652C8"/>
    <w:rsid w:val="00F7363E"/>
    <w:rsid w:val="00F8164E"/>
    <w:rsid w:val="00F833E9"/>
    <w:rsid w:val="00F86356"/>
    <w:rsid w:val="00F9277E"/>
    <w:rsid w:val="00FA53B8"/>
    <w:rsid w:val="00FA6986"/>
    <w:rsid w:val="00FB263C"/>
    <w:rsid w:val="00FD0626"/>
    <w:rsid w:val="00FE1010"/>
    <w:rsid w:val="00FE12FB"/>
    <w:rsid w:val="00FE3FAB"/>
    <w:rsid w:val="00FE4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50188C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7CDAE-C832-4B26-A672-907472BD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4679</Words>
  <Characters>26671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66</cp:revision>
  <cp:lastPrinted>2019-06-01T12:07:00Z</cp:lastPrinted>
  <dcterms:created xsi:type="dcterms:W3CDTF">2019-03-10T12:49:00Z</dcterms:created>
  <dcterms:modified xsi:type="dcterms:W3CDTF">2022-02-07T11:45:00Z</dcterms:modified>
</cp:coreProperties>
</file>